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2024-06-06</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xx to yy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t>
      </w:r>
      <w:r>
        <w:t xml:space="preserve">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rate when the photoperiod was 16 h for each 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and 250 µM O</w:t>
      </w:r>
      <w:r>
        <w:rPr>
          <w:vertAlign w:val="subscript"/>
        </w:rPr>
        <w:t xml:space="preserve">2</w:t>
      </w:r>
      <w:r>
        <w:t xml:space="preserve">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P.marinus</w:t>
      </w:r>
      <w:r>
        <w:t xml:space="preserve"> </w:t>
      </w:r>
      <w:r>
        <w:t xml:space="preserve">study strains (Fig</w:t>
      </w:r>
      <w:r>
        <w:t xml:space="preserve"> </w:t>
      </w:r>
      <w:r>
        <w:t xml:space="preserve">9</w:t>
      </w:r>
      <w:r>
        <w:t xml:space="preserve">).</w:t>
      </w:r>
    </w:p>
    <w:p>
      <w:pPr>
        <w:pStyle w:val="BodyText"/>
      </w:pPr>
      <w:r>
        <w:rPr>
          <w:iCs/>
          <w:i/>
        </w:rPr>
        <w:t xml:space="preserve">P.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2547257"/>
            <wp:effectExtent b="0" l="0" r="0" t="0"/>
            <wp:docPr descr="Fig 10. Potential Future Niches for Prochlorococcus clades in a warming ocean. The map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Potential clade occupancies under Full Oxygen (250 µM O2)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Low Oxygen Zones (25 µM O2)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 Potential clade occupancies under Full Oxygen (250 µM O</w:t>
      </w:r>
      <w:r>
        <w:rPr>
          <w:vertAlign w:val="subscript"/>
        </w:rPr>
        <w:t xml:space="preserve">2</w:t>
      </w:r>
      <w:r>
        <w:t xml:space="preserve">)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Low Oxygen Zones (25 µM O</w:t>
      </w:r>
      <w:r>
        <w:rPr>
          <w:vertAlign w:val="subscript"/>
        </w:rPr>
        <w:t xml:space="preserve">2</w:t>
      </w:r>
      <w:r>
        <w:t xml:space="preserve">)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depending upon their different, interacting capacities to tolerate and exploit photoperiods, light levels, and [O</w:t>
      </w:r>
      <w:r>
        <w:rPr>
          <w:vertAlign w:val="subscript"/>
        </w:rPr>
        <w:t xml:space="preserve">2</w:t>
      </w:r>
      <w:r>
        <w:t xml:space="preserve">]. Competition among clades will be driven not simply by light levels. Clade HLI (including MED4) is excluded from short photoperiod regimes, typical of temperate winter, or light attenuated depths. In contrast, clade LLIV (including MIT9313) may exploit higher light niches under OMZ conditions, where low O</w:t>
      </w:r>
      <w:r>
        <w:rPr>
          <w:vertAlign w:val="subscript"/>
        </w:rPr>
        <w:t xml:space="preserve">2</w:t>
      </w:r>
      <w:r>
        <w:t xml:space="preserve"> </w:t>
      </w:r>
      <w:r>
        <w:t xml:space="preserve">relieves the stresses of oxidation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5"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74">
        <w:r>
          <w:rPr>
            <w:rStyle w:val="Hyperlink"/>
          </w:rPr>
          <w:t xml:space="preserve">https://github.com/FundyPhytoPhys/prochlorococcus_o2/Code</w:t>
        </w:r>
      </w:hyperlink>
      <w:r>
        <w:t xml:space="preserve">.</w:t>
      </w:r>
    </w:p>
    <w:bookmarkEnd w:id="275"/>
    <w:bookmarkStart w:id="276"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6"/>
    <w:bookmarkStart w:id="277"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7"/>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2024-06-07T02:34:43Z</dcterms:created>
  <dcterms:modified xsi:type="dcterms:W3CDTF">2024-06-07T02:34:43Z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2024-06-06</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